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ind w:lef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关于印发《新疆维吾尔自治区工业能效提升行动计划》的通知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hd w:val="clear"/>
        <w:ind w:left="0" w:firstLine="0"/>
        <w:jc w:val="both"/>
        <w:rPr>
          <w:rFonts w:ascii="socialshare" w:hAnsi="socialshare" w:eastAsia="socialshare" w:cs="socialshare"/>
          <w:i w:val="0"/>
          <w:iCs w:val="0"/>
          <w:caps w:val="0"/>
          <w:color w:val="888888"/>
          <w:spacing w:val="0"/>
          <w:sz w:val="24"/>
          <w:szCs w:val="24"/>
        </w:rPr>
      </w:pP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single" w:color="7BC549" w:sz="6" w:space="0"/>
          <w:shd w:val="clear" w:fill="FFFFFF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single" w:color="7BC549" w:sz="6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single" w:color="7BC549" w:sz="6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single" w:color="7BC549" w:sz="6" w:space="0"/>
          <w:shd w:val="clear" w:fill="FFFFFF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single" w:color="FF763B" w:sz="6" w:space="0"/>
          <w:shd w:val="clear" w:fill="FFFFFF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single" w:color="FF763B" w:sz="6" w:space="0"/>
          <w:shd w:val="clear" w:fill="FFFFFF"/>
          <w:lang w:val="en-US" w:eastAsia="zh-CN" w:bidi="ar"/>
        </w:rPr>
        <w:instrText xml:space="preserve"> HYPERLINK "https://service.weibo.com/share/share.php?url=http://gxt.xinjiang.gov.cn/gxt/tzgg/202403/8837127a9ed348d0b0c32a73d57b093a.shtml&amp;title=%E5%85%B3%E4%BA%8E%E5%8D%B0%E5%8F%91%E3%80%8A%E6%96%B0%E7%96%86%E7%BB%B4%E5%90%BE%E5%B0%94%E8%87%AA%E6%B2%BB%E5%8C%BA%E5%B7%A5%E4%B8%9A%E8%83%BD%E6%95%88%E6%8F%90%E5%8D%87%E8%A1%8C%E5%8A%A8%E8%AE%A1%E5%88%92%E3%80%8B%E7%9A%84%E9%80%9A%E7%9F%A5_%E9%80%9A%E7%9F%A5%E5%85%AC%E5%91%8A_%E6%96%B0%E7%96%86%E7%BB%B4%E5%90%BE%E5%B0%94%E8%87%AA%E6%B2%BB%E5%8C%BA%E5%B7%A5%E4%B8%9A%E5%92%8C%E4%BF%A1%E6%81%AF%E5%8C%96%E5%8E%85&amp;pic=http://gxt.xinjiang.gov.cn/gxt/xhtml/images/wza_icon.png&amp;appkey=" \t "http://gxt.xinjiang.gov.cn/gxt/tzgg/202403/_blank"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single" w:color="FF763B" w:sz="6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single" w:color="FF763B" w:sz="6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after="21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各地、州、市工信局、发展改革委、财政局、生态环境局、国资委、市场监督管理局：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现将《新疆维吾尔自治区工业能效提升行动计划》印发你们，请认真贯彻落实。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新疆维吾尔自治区               新疆维吾尔自治区  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-工业和信息化厅                发展和改革委员会      </w:t>
      </w:r>
    </w:p>
    <w:p>
      <w:pPr>
        <w:keepNext w:val="0"/>
        <w:keepLines w:val="0"/>
        <w:widowControl/>
        <w:suppressLineNumbers w:val="0"/>
        <w:shd w:val="clear"/>
        <w:spacing w:after="240" w:afterAutospacing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新疆维吾尔自治区               新疆维吾尔自治区 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   财 政 厅                       生态环境厅 </w:t>
      </w:r>
    </w:p>
    <w:p>
      <w:pPr>
        <w:keepNext w:val="0"/>
        <w:keepLines w:val="0"/>
        <w:widowControl/>
        <w:suppressLineNumbers w:val="0"/>
        <w:shd w:val="clear"/>
        <w:spacing w:after="240" w:afterAutospacing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新疆维吾尔自治区人民政府           新疆维吾尔自治区  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国有资产监督管理委员会            市场监督管理局   </w:t>
      </w:r>
    </w:p>
    <w:p>
      <w:pPr>
        <w:keepNext w:val="0"/>
        <w:keepLines w:val="0"/>
        <w:widowControl/>
        <w:suppressLineNumbers w:val="0"/>
        <w:shd w:val="clear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                                                               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                                                        2024年2月28日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00" w:lineRule="atLeast"/>
        <w:ind w:left="0" w:right="0" w:firstLine="5760"/>
        <w:jc w:val="righ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25" w:lineRule="atLeast"/>
        <w:ind w:left="0" w:right="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14"/>
          <w:sz w:val="28"/>
          <w:szCs w:val="28"/>
          <w:shd w:val="clear" w:fill="FFFFFF"/>
        </w:rPr>
        <w:t>新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9"/>
          <w:sz w:val="28"/>
          <w:szCs w:val="28"/>
          <w:shd w:val="clear" w:fill="FFFFFF"/>
        </w:rPr>
        <w:t>疆维吾尔自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14"/>
          <w:sz w:val="28"/>
          <w:szCs w:val="28"/>
          <w:shd w:val="clear" w:fill="FFFFFF"/>
        </w:rPr>
        <w:t>治区工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9"/>
          <w:sz w:val="28"/>
          <w:szCs w:val="28"/>
          <w:shd w:val="clear" w:fill="FFFFFF"/>
        </w:rPr>
        <w:t>业能效提升行动计划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为贯彻落实《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“十四五”工业绿色发展规划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》（工信部规〔2021〕178号）、《工业能效提升行动计划》（工信部联节〔2022〕76号）、《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新疆维吾尔自治区工业领域碳达峰实施方案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》（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新工信节能〔2023〕12号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进一步加快推动自治区工业强基增效和转型升级，实现工业经济高质量发展，促进工业发展绿色转型，实现规模以上单位工业增加值能耗持续降低，现制定本行动计划。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一、指导思想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坚持以习近平新时代中国特色社会主义思想为指导，全面贯彻党的二十大精神，深入贯彻习近平生态文明思想，贯彻落实习近平总书记视察新疆、听取自治区和兵团工作汇报时的重要讲话重要指示精神，完整准确全面贯彻新时代党的治疆方略，牢牢把握新疆在国家全局中的战略地位。坚持生态优先、节约集约、绿色低碳发展，充分发挥自治区能源资源优势，高质量建设“八大产业集群”，加强能效技术与能效管理革新，全面提升重点用能工艺设备效率和全链条综合能效，积极推进自治区工业用能高效化、低碳化、绿色化，为实现自治区碳达峰碳中和目标奠定坚实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二、主要目标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到2025年，自治区重点工业行业能效水平全面提升，高耗能行业重点领域能效标杆水平以上产能比例达到30%，能效基准水平以下产能基本清零，各行业节能降碳效果显著提升，绿色低碳发展能力大幅提高。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76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sz w:val="28"/>
          <w:szCs w:val="28"/>
          <w:shd w:val="clear" w:fill="FFFFFF"/>
        </w:rPr>
        <w:t>到2030年，绿色能源利用比例显著提高，节能提效工艺技术装备广泛应用，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能效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sz w:val="28"/>
          <w:szCs w:val="28"/>
          <w:shd w:val="clear" w:fill="FFFFFF"/>
        </w:rPr>
        <w:t>标准、服务和监管体系基本完善，规模以上工业单位增加值能耗持续下降，非化石能源占能源消费总量比例显著提高。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三、主要任务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（一）重点行业领域对标达标行动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1.实施重点行业对标达标行动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全面对标重点领域能效要求，深入挖掘重点行业节能潜力，有序推进企业技术、工艺、管理改进，实现提质增效。针对石油化工、有色、钢铁、建材等高耗能行业，遴选、推广一批重大低碳关键技术、装备，持续推动企业提升能效水平、优化能源管理系统，实施公辅设施改造，充分利用余热余压和可再生能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left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专栏1 重点行业节能提效改造升级重点方向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石油化工行业：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炼油行业采用先进控制技术，加快应用高效空气预热、高效换热等技术装备。推动石化化工原料轻质化，加强石油炼化副产物高效利用。乙烯行业采用热泵流程工艺，应用分凝分馏塔、保温材料衬里、高效吹灰等技术装备。推动石油化工“减油增化”发展，延伸发展高端聚烯烃、高性能合成橡胶、高性能纤维、可降解塑料等新材料、精细化工产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3"/>
        <w:jc w:val="both"/>
        <w:rPr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煤化工行业：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推动合成气一步法制烯烃、绿氢与煤化工项目耦合等前沿技术示范应用。加快高效煤气化炉、合成反应器、高效精馏系统、智能控制系统、高效降膜蒸发技术等装备研发应用。实施煤炭清洁高效利用工程，大力发展现代煤化工，推进煤制油气产业向特种燃料、高端化学品等方向转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3"/>
        <w:jc w:val="both"/>
        <w:rPr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有色行业：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开展高质量阳极技术、电解槽综合能源优化、数字化智能电解槽、铜冶炼多金属回收及能源高效利用、铅冶炼能源系统优化、锌湿法冶金多金属回收、浸出渣资源化利用新技术等一批共性关键技术的研发应用。推进铝、铜、镍、镁等有色金属下游产业链延伸发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3"/>
        <w:jc w:val="both"/>
        <w:rPr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纺织行业：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采用低温前处理、冷轧堆前处理、分散染料碱性染色等节能工艺，推广针织物连续平幅前处理设备、高效节能定形机、染色机等技术装备。加快纤维制造产业与纺织工业协同发展，优化棉花产业供应链、价值链，提高棉花就地转化率和纺锭规模，促进产业链向服装等终端产业延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3"/>
        <w:jc w:val="both"/>
        <w:rPr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钢铁行业：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有序发展短流程炼钢，推广铁水一罐到底、薄带铸轧、铸坯热装热送、在线热处理等技术，推动各类低温烟气、冲渣水和循环冷却水等低品位余热回收。推进钢铁行业优化重组，调整产品结构，加快发展汽车、机械、化工装备制造业用钢、板带材产品，推动钢铁行业高端化发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3"/>
        <w:jc w:val="both"/>
        <w:rPr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建材行业：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水泥行业全面推广低阻旋风预热器、高效烧成、窑炉优化控制、高效篦冷机、高效节能粉磨等节能技术装备，应用智能化系统，充分使用电石渣等非碳酸盐原料替代石灰石。平板玻璃行业采用玻璃熔窑全保温、熔窑用红外高辐射节能涂料等技术。加强建材行业清洁能源原燃料替代。大力实施建材产业绿色化、智能化升级改造，加快推进装配式建筑和建材部品化，促进绿色建材产品生产和应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数据中心：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采用服务器虚拟化、冷热通道隔离、液冷等技术，充分利用自然冷，推动老旧数据中心实施系统节能改造。引导数据中心扩大绿色能源利用比例。支持制造企业加强绿色设计，提高网络设备等信息处理设备能效。推动低功耗芯片等产品和技术在移动通信网络中的应用，推动电源、空调等配套设施绿色化改造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2.推动跨产业跨领域耦合提效协同升级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加快新技术新模式协同创新应用，稳妥推进煤制油气战略基地建设，构建原料高效利用、资源要素集成、减污降碳协同、技术先进成熟、产品系列高端的产业示范基地。推动新能源与储能、碳捕集利用与封存（CCUS）与煤化工、石油化工产业、钢铁产业等集群耦合联动发展，形成以创新链带动产业链的循环互促模式。鼓励钢铁、有色、石化等行业企业与再生资源加工企业合作，扩大资源利用规模，缩短生产流程，提高能源利用效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（二）通用设备系统能效提升行动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1.提升变压器能效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培育壮大变压器领域骨干优势企业，引导企业加强材料、磁路研发设计和工艺创新，重点发展特高压变压器、电阻器高效配电设备、电线电缆、智能电网设备以及特种输变电装备，加大新兴应用场景供给。开展在网运行变压器全面普查，针对电厂、可再生能源电站、输变电、数据中心、工业企业等应用场景，推广应用高效节能变压器，引导鼓励企业实施节能变压器改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2.提升锅炉能效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有序淘汰低效分散小燃煤锅炉和在役时间超过15年的老旧低效工业锅炉。推动燃煤锅炉清洁能源改造，推进燃气锅炉低氮燃烧改造和65蒸吨/小时及以上燃煤锅炉超低排放改造。鼓励使用清洁能源或电厂热力、工业余热等替代锅炉、炉窑燃料用煤。实施锅炉烟气余热深度回收，支持企业开展锅炉系统能效在线监控、在线诊断、协同优化、主辅机匹配调控等技术改造。到2025年，县级及以上城市建成区基本淘汰35蒸吨/小时及以下燃煤锅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3.提升电机能效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加快高效节能电机推广应用，鼓励企业对低效运行的风机、泵、压缩机等电机系统开展匹配性节能改造和运行控制优化。到2030年新增高效节能电机占比显著提升。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4.提升工业装备用能系统能效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推动工业窑炉改进燃烧技术，引入先进的燃烧设备和控制技术，实施燃料清洁能源替代，加强余热回收。提升工业污染治理设备能效，应用高效节能污染治理装备和技术，优化设备运行参数，加强污水、烟气余热回收利用。加强工业制冷领域节能改造，运用智能管控、管路优化、能量回收、蓄能蓄冷、自然冷源、多能互补、自然通风等技术实施改造升级。积极推动数据中心制冷系统能效提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（三）企业园区综合能效提升行动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1.打造能效标杆示范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聚焦钢铁、电解铝、水泥、平板玻璃、炼油、乙烯、合成氨、电石、数据中心等重点行业，组织遴选节能降碳标杆企业。鼓励标杆企业全面采用先进前沿工艺技术装备，探索打造超级能效工厂，形成一批可借鉴、可复制、可推广的节能典型案例。到2030年，在重点领域遴选50家“能效领跑者”企业，形成覆盖各重点用能行业的标杆示范群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2.加快推进绿色制造体系示范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支持工业企业在优化用能结构和效率的基础上，建设绿色工厂。评选一批国家级、自治区级的绿色制造示范企业，开展量化分级评价和赋码，引导企业全面推行绿色制造，全力推进节能提效工艺革新和数字化、绿色化转型，鼓励企业应用节能提效技术和工艺装备，加大可再生能源和新能源利用，打造绿色能源与绿色制造深度融合发展示范。到2030年，形成覆盖各重点行业和领域的绿色制造示范群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3.提升工业企业能效管理水平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推动各重点用能单位执行节能目标责任制，落实到相应层级，定期对节能目标完成情况和节能措施落实情况进行量化考核。探索建立重点用能单位化石能源消费预算管理，鼓励企业最大程度实现用能需求绿电替代。推动企业建立健全节能目标责任制，制定节能计划，完善能源管理体系，引导企业能源管理信息化平台建设。加强落实能源消费统计和能源利用状况报告制度，鼓励企业按照自愿原则发布能源利用状况年度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4.强化工业园区用能管理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围绕“八大产业集群”建设，以深化园区管理机制改革推动园区高质量发展，着力提高工业园区用能管理水平。推广集中供热供气、能源供应中枢，发展长输供热项目，充分利用电厂供热、工业余热，加强能源管理，提升服务水平。创建工业领域电力需求侧管理示范企业和园区，构建工业企业绿色微电网，优化电力资源配置，推进工业用能电气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79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9"/>
          <w:sz w:val="28"/>
          <w:szCs w:val="28"/>
          <w:shd w:val="clear" w:fill="FFFFFF"/>
        </w:rPr>
        <w:t>5.引导园区高水平集聚发展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科学合理布局产业项目，推进产业基础高端化、产业链条现代化。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sz w:val="28"/>
          <w:szCs w:val="28"/>
          <w:shd w:val="clear" w:fill="FFFFFF"/>
        </w:rPr>
        <w:t>引导园区内企业循环生产、产业耦合发展，鼓励工业园区间错位、差异化发展，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推动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sz w:val="28"/>
          <w:szCs w:val="28"/>
          <w:shd w:val="clear" w:fill="FFFFFF"/>
        </w:rPr>
        <w:t>化工、建材、有色、纺织、电子等行业协同布局。鼓励各园区建设智能化管理系统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，打造园区绿色发展示范，推动创建国家级和自治区级“绿色园区”、国家生态工业示范园区。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（四）工业用能低碳转型行动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1.推进工业用能高效清洁化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加快推进煤炭清洁高效燃烧、资源化利用等技术应用。因地制宜推进电能替代，通过设备迭代和工艺突破，加快工业用能和终端产品电气化，做好工业领域电力需求侧管理示范创建和宣传推广工作。推广应用电锅炉、电窑炉以及电炉炼钢，加快推进蓄热式与直热式工业锅炉应用，扩大电气化终端用能设备使用比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2.推进工业用能绿色多元化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鼓励工业企业通过电力市场购买绿色电力，就近大规模高比例利用可再生能源。加快构建就地供给消纳体系，推动优化高载能企业用电结构，支持存量高载能企业通过新能源市场化消纳方式，不断拓展新能源就地消纳规模，稳步提高清洁能源比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（五）数字能效提档升级行动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1.推动实施能源管理数字化建设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推动智能化、云计算、大数据、区块链、工业软件等数字产业与工业企业融合发展，拓展数字化技术在生产智能化和精益能效管理领域的应用。推动重点用能企业研发数字技术赋能能耗监测管理工具，全面提高能源使用效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2.提升工业终端用能智慧化水平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加快推动物联网技术渗透和应用，将智慧系统融入工业生产经营管理的各个环节，大幅提高生产效率和管理效率。推动重点用能设备、工序上云，以工业互联网为载体，拓展数字孪生技术应用，进一步提升工业用能管理智慧化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（六）夯实节能提效产业基础行动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1.加强节能低碳技术支撑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进一步丰富完善新疆工业重点领域重大低碳技术库，加强技术推广应用。探索革新性节能提效技术的精准识别、快速推广新机制，充分调动科研院所、企事业单位节能和新能源技术研发的积极性，畅通前沿引领、颠覆性创新技术转化和推广通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2.建设完善节能标准体系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加强标准体系顶层设计，引导鼓励企业、行业协会、科研院所积极参与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工业领域节能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和能效标准的制修订，积极宣贯、推广标准，全力推动建设较为完善的节能标准体系。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3.扩大节能服务供给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充分发挥专业化节能服务机构作用，推动节能服务机构服务内容由诊断、咨询服务向节能工程、系统集成服务拓展。鼓励能源费用托管模式、合同能源管理模式在企业节能改造中的应用，增大社会资本供给，规范合作行为，提高各方参与的积极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（七）健全节能提效体制机制行动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1.持续开展节能监察、能源审计及节能诊断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聚焦重点行业、重点设备、新型基础设施等用能领域开展工业节能监察。强化各地（州、市）节能监察队伍和体制机制建设，提高常态化日常监察水平，推动监察结果纳入企业社会信用体系，提高企业对工业节能监察工作的重视程度。加大对政府部门、节能监察执法机构、重点企业等人员培训力度，提高专业水平。继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-4"/>
          <w:sz w:val="28"/>
          <w:szCs w:val="28"/>
          <w:shd w:val="clear" w:fill="FFFFFF"/>
        </w:rPr>
        <w:t>深入开展工业企业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sz w:val="28"/>
          <w:szCs w:val="28"/>
          <w:shd w:val="clear" w:fill="FFFFFF"/>
        </w:rPr>
        <w:t>能源审计及节能诊断工作，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完善工作规范标准，加强组织培训，提升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sz w:val="28"/>
          <w:szCs w:val="28"/>
          <w:shd w:val="clear" w:fill="FFFFFF"/>
        </w:rPr>
        <w:t>服务机构服务质量，做好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跟踪评价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sz w:val="28"/>
          <w:szCs w:val="28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2.健全长效激励约束机制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根据相关领域节能降碳改造升级和淘汰时限要求，紧紧围绕《产业结构调整指导目录（2024年本）》确定的“对能效未达到最新版《工业重点领域能效标杆水平和基准水平》中基准水平、且未在规定期限内完成改造的项目，以及对所生产产品设备能效未达到最新版《重点用能产品设备能效先进水平、节能水平和准入水平》中准入水平或未达到强制性能效标准最低要求的项目，参照淘汰类管理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3.坚决遏制“两高”项目盲目发展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严把项目准入，坚决遏制高耗能、高排放、低水平项目盲目发展。严格落实钢铁、水泥、平板玻璃、炼油、电解铝等行业新建、扩建项目产能等量或减量置换。大气污染防治重点区域严禁新增钢铁、水泥、平板玻璃、煤化工产能。加快推动重点区域、重点流域落后产能淘汰和过剩产能压减退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四、保障措施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(一)加强组织领导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加强部门间协同，形成合力。强化上下联动，加强对重点地区、重点企业的调度。充分发挥市场的导向作用、企业的主体作用、第三方机构的平台作用，发挥科研院所、行业商协会在科技创新、示范应用方面的支撑作用，汇聚形成工业节能工作合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（二）强化政策引导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综合运用监察督导、政策引导，形成政策合力。引导重点用能企业对标能效基准和标杆水平，实施节能降碳升级改造，提升能效水平。积极争取国家及自治区工业节能减排专项资金，对按期完成节能降碳改造且能效达到标杆水平的企业给予重点支持。对能效低于基准水平的存量项目，督促企业制定年度改造或淘汰计划，在规定时限内将能效改造升级到基准水平以上。对不能按期改造完毕的项目，按照《产业结构调整指导目录（2024年本）》要求，依法依规进行淘汰。同时加大绿色产品政府采购力度，推广绿色生产理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（三）加大金融支持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积极对接金融机构，搭建银企交流合作平台，鼓励银行开展绿色融资贷款、绿色信贷项目，加大对企业节能改造项目金融支持力度，促进实现节能改造项目与金融资源的精准对接。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（四）深化宣传培训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利用节能宣传周、绿色发展大会等平台，深入开展多形式宣传教育，鼓励社会各方广泛开展节能专题交流活动。联合高校、科研院所等开展节能专业人才培训，为企业输送懂技术、会管理的高素质技能型人才。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NDc0ODVmZjExMzVjMzNhMDE1MDE5N2MxZjRjNTMifQ=="/>
    <w:docVar w:name="KSO_WPS_MARK_KEY" w:val="166baf4f-41d9-4691-8c6c-f9a9c57dd552"/>
  </w:docVars>
  <w:rsids>
    <w:rsidRoot w:val="00000000"/>
    <w:rsid w:val="369518C0"/>
    <w:rsid w:val="600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2024-03-06T08:12:00Z</dcterms:created>
  <dc:creator>zy</dc:creator>
  <cp:lastModifiedBy>向夏目大人学习</cp:lastModifiedBy>
  <dcterms:modified xsi:type="dcterms:W3CDTF">2024-03-07T05:12:33Z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7CA3A3F823DD473EB720EB8A5BCFF84C_13</vt:lpwstr>
  </property>
</Properties>
</file>